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BE" w:rsidRPr="00CF74BE" w:rsidRDefault="008B1006" w:rsidP="00CF74BE">
      <w:pPr>
        <w:spacing w:afterLines="50"/>
        <w:jc w:val="center"/>
        <w:rPr>
          <w:rFonts w:hint="eastAsia"/>
          <w:b/>
          <w:sz w:val="32"/>
          <w:szCs w:val="32"/>
        </w:rPr>
      </w:pPr>
      <w:r w:rsidRPr="008B1006">
        <w:rPr>
          <w:rFonts w:hint="eastAsia"/>
          <w:b/>
          <w:sz w:val="32"/>
          <w:szCs w:val="32"/>
        </w:rPr>
        <w:t xml:space="preserve">4. </w:t>
      </w:r>
      <w:r w:rsidRPr="008B1006">
        <w:rPr>
          <w:rFonts w:hint="eastAsia"/>
          <w:b/>
          <w:sz w:val="32"/>
          <w:szCs w:val="32"/>
        </w:rPr>
        <w:t>单项建设工程设计责任保险费率规章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0"/>
        <w:gridCol w:w="3020"/>
        <w:gridCol w:w="3020"/>
      </w:tblGrid>
      <w:tr w:rsidR="00CF74BE" w:rsidRPr="00CF74BE" w:rsidTr="00F4520E">
        <w:tblPrEx>
          <w:tblCellMar>
            <w:top w:w="0" w:type="dxa"/>
            <w:bottom w:w="0" w:type="dxa"/>
          </w:tblCellMar>
        </w:tblPrEx>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工程项目</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费率（选择一）</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费率（选择二）</w:t>
            </w:r>
          </w:p>
        </w:tc>
      </w:tr>
      <w:tr w:rsidR="00CF74BE" w:rsidRPr="00CF74BE" w:rsidTr="00F4520E">
        <w:tblPrEx>
          <w:tblCellMar>
            <w:top w:w="0" w:type="dxa"/>
            <w:bottom w:w="0" w:type="dxa"/>
          </w:tblCellMar>
        </w:tblPrEx>
        <w:tc>
          <w:tcPr>
            <w:tcW w:w="3020" w:type="dxa"/>
            <w:vAlign w:val="center"/>
          </w:tcPr>
          <w:p w:rsidR="00CF74BE" w:rsidRPr="00CF74BE" w:rsidRDefault="00CF74BE" w:rsidP="00CF74BE">
            <w:pPr>
              <w:rPr>
                <w:rFonts w:ascii="仿宋_GB2312" w:eastAsia="仿宋_GB2312" w:hint="eastAsia"/>
                <w:sz w:val="28"/>
                <w:szCs w:val="28"/>
              </w:rPr>
            </w:pPr>
            <w:r w:rsidRPr="00CF74BE">
              <w:rPr>
                <w:rFonts w:ascii="仿宋_GB2312" w:eastAsia="仿宋_GB2312" w:hint="eastAsia"/>
                <w:sz w:val="28"/>
                <w:szCs w:val="28"/>
              </w:rPr>
              <w:t>公路、铁路（不含高架）</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sz w:val="28"/>
                <w:szCs w:val="28"/>
              </w:rPr>
              <w:t>0.</w:t>
            </w:r>
            <w:r w:rsidRPr="00CF74BE">
              <w:rPr>
                <w:rFonts w:ascii="仿宋_GB2312" w:eastAsia="仿宋_GB2312" w:hint="eastAsia"/>
                <w:sz w:val="28"/>
                <w:szCs w:val="28"/>
              </w:rPr>
              <w:t>36‰</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0.18‰</w:t>
            </w:r>
          </w:p>
        </w:tc>
      </w:tr>
      <w:tr w:rsidR="00CF74BE" w:rsidRPr="00CF74BE" w:rsidTr="009F2349">
        <w:tblPrEx>
          <w:tblCellMar>
            <w:top w:w="0" w:type="dxa"/>
            <w:bottom w:w="0" w:type="dxa"/>
          </w:tblCellMar>
        </w:tblPrEx>
        <w:trPr>
          <w:trHeight w:val="1716"/>
        </w:trPr>
        <w:tc>
          <w:tcPr>
            <w:tcW w:w="3020" w:type="dxa"/>
            <w:vAlign w:val="center"/>
          </w:tcPr>
          <w:p w:rsidR="00CF74BE" w:rsidRPr="00CF74BE" w:rsidRDefault="00CF74BE" w:rsidP="009F2349">
            <w:pPr>
              <w:spacing w:line="400" w:lineRule="exact"/>
              <w:rPr>
                <w:rFonts w:ascii="仿宋_GB2312" w:eastAsia="仿宋_GB2312" w:hint="eastAsia"/>
                <w:sz w:val="28"/>
                <w:szCs w:val="28"/>
              </w:rPr>
            </w:pPr>
            <w:r w:rsidRPr="00CF74BE">
              <w:rPr>
                <w:rFonts w:ascii="仿宋_GB2312" w:eastAsia="仿宋_GB2312" w:hint="eastAsia"/>
                <w:sz w:val="28"/>
                <w:szCs w:val="28"/>
              </w:rPr>
              <w:t>民用住宅、一般工业厂房、宾馆、商业楼宇、仓库、剧院、体育场（馆）</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sz w:val="28"/>
                <w:szCs w:val="28"/>
              </w:rPr>
              <w:t>0.</w:t>
            </w:r>
            <w:r w:rsidRPr="00CF74BE">
              <w:rPr>
                <w:rFonts w:ascii="仿宋_GB2312" w:eastAsia="仿宋_GB2312" w:hint="eastAsia"/>
                <w:sz w:val="28"/>
                <w:szCs w:val="28"/>
              </w:rPr>
              <w:t>54‰</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0.24‰</w:t>
            </w:r>
          </w:p>
        </w:tc>
      </w:tr>
      <w:tr w:rsidR="00CF74BE" w:rsidRPr="00CF74BE" w:rsidTr="009F2349">
        <w:tblPrEx>
          <w:tblCellMar>
            <w:top w:w="0" w:type="dxa"/>
            <w:bottom w:w="0" w:type="dxa"/>
          </w:tblCellMar>
        </w:tblPrEx>
        <w:trPr>
          <w:trHeight w:val="990"/>
        </w:trPr>
        <w:tc>
          <w:tcPr>
            <w:tcW w:w="3020" w:type="dxa"/>
            <w:vAlign w:val="center"/>
          </w:tcPr>
          <w:p w:rsidR="00CF74BE" w:rsidRPr="00CF74BE" w:rsidRDefault="00CF74BE" w:rsidP="009F2349">
            <w:pPr>
              <w:spacing w:line="400" w:lineRule="exact"/>
              <w:rPr>
                <w:rFonts w:ascii="仿宋_GB2312" w:eastAsia="仿宋_GB2312" w:hint="eastAsia"/>
                <w:sz w:val="28"/>
                <w:szCs w:val="28"/>
              </w:rPr>
            </w:pPr>
            <w:r w:rsidRPr="00CF74BE">
              <w:rPr>
                <w:rFonts w:ascii="仿宋_GB2312" w:eastAsia="仿宋_GB2312" w:hint="eastAsia"/>
                <w:sz w:val="28"/>
                <w:szCs w:val="28"/>
              </w:rPr>
              <w:t>桥梁、高架铁路、隧道、特殊工业厂房</w:t>
            </w:r>
          </w:p>
        </w:tc>
        <w:tc>
          <w:tcPr>
            <w:tcW w:w="3020" w:type="dxa"/>
            <w:vAlign w:val="center"/>
          </w:tcPr>
          <w:p w:rsidR="00CF74BE" w:rsidRPr="00CF74BE" w:rsidRDefault="00CF74BE" w:rsidP="00CF74BE">
            <w:pPr>
              <w:jc w:val="center"/>
              <w:rPr>
                <w:rFonts w:ascii="仿宋_GB2312" w:eastAsia="仿宋_GB2312"/>
                <w:sz w:val="28"/>
                <w:szCs w:val="28"/>
              </w:rPr>
            </w:pPr>
            <w:r w:rsidRPr="00CF74BE">
              <w:rPr>
                <w:rFonts w:ascii="仿宋_GB2312" w:eastAsia="仿宋_GB2312"/>
                <w:sz w:val="28"/>
                <w:szCs w:val="28"/>
              </w:rPr>
              <w:t>0.</w:t>
            </w:r>
            <w:r w:rsidRPr="00CF74BE">
              <w:rPr>
                <w:rFonts w:ascii="仿宋_GB2312" w:eastAsia="仿宋_GB2312" w:hint="eastAsia"/>
                <w:sz w:val="28"/>
                <w:szCs w:val="28"/>
              </w:rPr>
              <w:t>72‰</w:t>
            </w:r>
          </w:p>
        </w:tc>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0.32‰</w:t>
            </w:r>
          </w:p>
        </w:tc>
      </w:tr>
      <w:tr w:rsidR="00CF74BE" w:rsidRPr="00CF74BE" w:rsidTr="009F2349">
        <w:tblPrEx>
          <w:tblCellMar>
            <w:top w:w="0" w:type="dxa"/>
            <w:bottom w:w="0" w:type="dxa"/>
          </w:tblCellMar>
        </w:tblPrEx>
        <w:trPr>
          <w:trHeight w:val="1685"/>
        </w:trPr>
        <w:tc>
          <w:tcPr>
            <w:tcW w:w="3020" w:type="dxa"/>
            <w:vAlign w:val="center"/>
          </w:tcPr>
          <w:p w:rsidR="00CF74BE" w:rsidRPr="00CF74BE" w:rsidRDefault="00CF74BE" w:rsidP="00CF74BE">
            <w:pPr>
              <w:jc w:val="center"/>
              <w:rPr>
                <w:rFonts w:ascii="仿宋_GB2312" w:eastAsia="仿宋_GB2312" w:hint="eastAsia"/>
                <w:sz w:val="28"/>
                <w:szCs w:val="28"/>
              </w:rPr>
            </w:pPr>
            <w:r w:rsidRPr="00CF74BE">
              <w:rPr>
                <w:rFonts w:ascii="仿宋_GB2312" w:eastAsia="仿宋_GB2312" w:hint="eastAsia"/>
                <w:sz w:val="28"/>
                <w:szCs w:val="28"/>
              </w:rPr>
              <w:t>免赔额</w:t>
            </w:r>
          </w:p>
        </w:tc>
        <w:tc>
          <w:tcPr>
            <w:tcW w:w="3020" w:type="dxa"/>
            <w:vAlign w:val="center"/>
          </w:tcPr>
          <w:p w:rsidR="00CF74BE" w:rsidRPr="00CF74BE" w:rsidRDefault="00CF74BE" w:rsidP="009F2349">
            <w:pPr>
              <w:spacing w:line="400" w:lineRule="exact"/>
              <w:rPr>
                <w:rFonts w:ascii="仿宋_GB2312" w:eastAsia="仿宋_GB2312" w:hint="eastAsia"/>
                <w:sz w:val="28"/>
                <w:szCs w:val="28"/>
              </w:rPr>
            </w:pPr>
            <w:r w:rsidRPr="00CF74BE">
              <w:rPr>
                <w:rFonts w:ascii="仿宋_GB2312" w:eastAsia="仿宋_GB2312" w:hint="eastAsia"/>
                <w:sz w:val="28"/>
                <w:szCs w:val="28"/>
              </w:rPr>
              <w:t>每次索赔免赔额为3万元或损失金额的1</w:t>
            </w:r>
            <w:r w:rsidRPr="00CF74BE">
              <w:rPr>
                <w:rFonts w:ascii="仿宋_GB2312" w:eastAsia="仿宋_GB2312"/>
                <w:sz w:val="28"/>
                <w:szCs w:val="28"/>
              </w:rPr>
              <w:t>0%</w:t>
            </w:r>
            <w:r w:rsidRPr="00CF74BE">
              <w:rPr>
                <w:rFonts w:ascii="仿宋_GB2312" w:eastAsia="仿宋_GB2312" w:hint="eastAsia"/>
                <w:sz w:val="28"/>
                <w:szCs w:val="28"/>
              </w:rPr>
              <w:t>，以高者为准</w:t>
            </w:r>
          </w:p>
        </w:tc>
        <w:tc>
          <w:tcPr>
            <w:tcW w:w="3020" w:type="dxa"/>
            <w:vAlign w:val="center"/>
          </w:tcPr>
          <w:p w:rsidR="00CF74BE" w:rsidRPr="00CF74BE" w:rsidRDefault="00CF74BE" w:rsidP="009F2349">
            <w:pPr>
              <w:spacing w:line="400" w:lineRule="exact"/>
              <w:rPr>
                <w:rFonts w:ascii="仿宋_GB2312" w:eastAsia="仿宋_GB2312" w:hint="eastAsia"/>
                <w:sz w:val="28"/>
                <w:szCs w:val="28"/>
              </w:rPr>
            </w:pPr>
            <w:r w:rsidRPr="00CF74BE">
              <w:rPr>
                <w:rFonts w:ascii="仿宋_GB2312" w:eastAsia="仿宋_GB2312" w:hint="eastAsia"/>
                <w:sz w:val="28"/>
                <w:szCs w:val="28"/>
              </w:rPr>
              <w:t>每次索赔免赔额为人民币150万元或损失金额的</w:t>
            </w:r>
            <w:r w:rsidRPr="00CF74BE">
              <w:rPr>
                <w:rFonts w:ascii="仿宋_GB2312" w:eastAsia="仿宋_GB2312"/>
                <w:sz w:val="28"/>
                <w:szCs w:val="28"/>
              </w:rPr>
              <w:t>10%</w:t>
            </w:r>
            <w:r w:rsidRPr="00CF74BE">
              <w:rPr>
                <w:rFonts w:ascii="仿宋_GB2312" w:eastAsia="仿宋_GB2312" w:hint="eastAsia"/>
                <w:sz w:val="28"/>
                <w:szCs w:val="28"/>
              </w:rPr>
              <w:t>，以高者为准</w:t>
            </w:r>
          </w:p>
        </w:tc>
      </w:tr>
    </w:tbl>
    <w:p w:rsidR="00CF74BE" w:rsidRPr="00CF74BE" w:rsidRDefault="00CF74BE" w:rsidP="00CF74BE">
      <w:pPr>
        <w:rPr>
          <w:rFonts w:ascii="仿宋_GB2312" w:eastAsia="仿宋_GB2312" w:hint="eastAsia"/>
          <w:sz w:val="28"/>
          <w:szCs w:val="28"/>
        </w:rPr>
      </w:pPr>
      <w:r w:rsidRPr="00CF74BE">
        <w:rPr>
          <w:rFonts w:ascii="仿宋_GB2312" w:eastAsia="仿宋_GB2312" w:hint="eastAsia"/>
          <w:sz w:val="28"/>
          <w:szCs w:val="28"/>
        </w:rPr>
        <w:t>注：1、费率调整因素</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甲级资质：费率表费率×</w:t>
      </w:r>
      <w:r w:rsidRPr="00CF74BE">
        <w:rPr>
          <w:rFonts w:ascii="仿宋_GB2312" w:eastAsia="仿宋_GB2312"/>
          <w:sz w:val="28"/>
          <w:szCs w:val="28"/>
        </w:rPr>
        <w:t>1.0</w:t>
      </w:r>
      <w:r w:rsidRPr="00CF74BE">
        <w:rPr>
          <w:rFonts w:ascii="仿宋_GB2312" w:eastAsia="仿宋_GB2312" w:hint="eastAsia"/>
          <w:sz w:val="28"/>
          <w:szCs w:val="28"/>
        </w:rPr>
        <w:t>倍</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乙级资质：费率表费率×</w:t>
      </w:r>
      <w:r w:rsidRPr="00CF74BE">
        <w:rPr>
          <w:rFonts w:ascii="仿宋_GB2312" w:eastAsia="仿宋_GB2312"/>
          <w:sz w:val="28"/>
          <w:szCs w:val="28"/>
        </w:rPr>
        <w:t>1.</w:t>
      </w:r>
      <w:r w:rsidRPr="00CF74BE">
        <w:rPr>
          <w:rFonts w:ascii="仿宋_GB2312" w:eastAsia="仿宋_GB2312" w:hint="eastAsia"/>
          <w:sz w:val="28"/>
          <w:szCs w:val="28"/>
        </w:rPr>
        <w:t>1倍</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丙级资质：费率表费率×</w:t>
      </w:r>
      <w:r w:rsidRPr="00CF74BE">
        <w:rPr>
          <w:rFonts w:ascii="仿宋_GB2312" w:eastAsia="仿宋_GB2312"/>
          <w:sz w:val="28"/>
          <w:szCs w:val="28"/>
        </w:rPr>
        <w:t>1.2</w:t>
      </w:r>
      <w:r w:rsidRPr="00CF74BE">
        <w:rPr>
          <w:rFonts w:ascii="仿宋_GB2312" w:eastAsia="仿宋_GB2312" w:hint="eastAsia"/>
          <w:sz w:val="28"/>
          <w:szCs w:val="28"/>
        </w:rPr>
        <w:t>倍</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2、保险费</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保险费=累计（每次事故）赔偿限额×选定费率</w:t>
      </w:r>
    </w:p>
    <w:p w:rsidR="00CF74BE" w:rsidRPr="00CF74BE" w:rsidRDefault="00CF74BE" w:rsidP="00CF74BE">
      <w:pPr>
        <w:ind w:firstLine="630"/>
        <w:rPr>
          <w:rFonts w:ascii="仿宋_GB2312" w:eastAsia="仿宋_GB2312" w:hint="eastAsia"/>
          <w:sz w:val="28"/>
          <w:szCs w:val="28"/>
        </w:rPr>
      </w:pPr>
      <w:r w:rsidRPr="00CF74BE">
        <w:rPr>
          <w:rFonts w:ascii="仿宋_GB2312" w:eastAsia="仿宋_GB2312" w:hint="eastAsia"/>
          <w:sz w:val="28"/>
          <w:szCs w:val="28"/>
        </w:rPr>
        <w:t>每次事故赔偿限额和累计事故赔偿限额以建设工程项目的预算金额为准，二者相等。</w:t>
      </w:r>
    </w:p>
    <w:p w:rsidR="000F06C5" w:rsidRPr="00CF74BE" w:rsidRDefault="00CF74BE" w:rsidP="00CF74BE">
      <w:pPr>
        <w:ind w:firstLine="630"/>
        <w:rPr>
          <w:rFonts w:ascii="仿宋_GB2312" w:eastAsia="仿宋_GB2312"/>
          <w:sz w:val="28"/>
          <w:szCs w:val="28"/>
        </w:rPr>
      </w:pPr>
      <w:r w:rsidRPr="00CF74BE">
        <w:rPr>
          <w:rFonts w:ascii="仿宋_GB2312" w:eastAsia="仿宋_GB2312" w:hint="eastAsia"/>
          <w:sz w:val="28"/>
          <w:szCs w:val="28"/>
          <w:u w:val="single"/>
        </w:rPr>
        <w:t>3、第三者人身伤亡赔偿：每人最高赔偿额为人民币20万元</w:t>
      </w:r>
      <w:r w:rsidRPr="00CF74BE">
        <w:rPr>
          <w:rFonts w:ascii="仿宋_GB2312" w:eastAsia="仿宋_GB2312" w:hint="eastAsia"/>
          <w:sz w:val="28"/>
          <w:szCs w:val="28"/>
        </w:rPr>
        <w:t>。</w:t>
      </w:r>
    </w:p>
    <w:sectPr w:rsidR="000F06C5" w:rsidRPr="00CF74BE" w:rsidSect="0051123F">
      <w:headerReference w:type="even" r:id="rId7"/>
      <w:headerReference w:type="default" r:id="rId8"/>
      <w:headerReference w:type="first" r:id="rId9"/>
      <w:pgSz w:w="11906" w:h="16838" w:code="9"/>
      <w:pgMar w:top="1418" w:right="1418" w:bottom="1418" w:left="1418" w:header="851" w:footer="992" w:gutter="0"/>
      <w:cols w:space="425"/>
      <w:docGrid w:type="linesAndChars" w:linePitch="634" w:charSpace="2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4C" w:rsidRDefault="00626C4C">
      <w:r>
        <w:separator/>
      </w:r>
    </w:p>
  </w:endnote>
  <w:endnote w:type="continuationSeparator" w:id="0">
    <w:p w:rsidR="00626C4C" w:rsidRDefault="00626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4C" w:rsidRDefault="00626C4C">
      <w:r>
        <w:separator/>
      </w:r>
    </w:p>
  </w:footnote>
  <w:footnote w:type="continuationSeparator" w:id="0">
    <w:p w:rsidR="00626C4C" w:rsidRDefault="00626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A533A"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5" o:spid="_x0000_s1032" type="#_x0000_t75" style="position:absolute;left:0;text-align:left;margin-left:0;margin-top:0;width:417.45pt;height:699.75pt;z-index:-251657216;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Pr="006A3802" w:rsidRDefault="007A533A" w:rsidP="0046228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6" o:spid="_x0000_s1033" type="#_x0000_t75" style="position:absolute;left:0;text-align:left;margin-left:0;margin-top:0;width:417.45pt;height:699.75pt;z-index:-251656192;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A533A"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4" o:spid="_x0000_s1031" type="#_x0000_t75" style="position:absolute;left:0;text-align:left;margin-left:0;margin-top:0;width:417.45pt;height:699.75pt;z-index:-251658240;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21"/>
  <w:drawingGridVerticalSpacing w:val="317"/>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D"/>
    <w:rsid w:val="000005CF"/>
    <w:rsid w:val="00015B3E"/>
    <w:rsid w:val="00016CC7"/>
    <w:rsid w:val="00020202"/>
    <w:rsid w:val="00030024"/>
    <w:rsid w:val="00035840"/>
    <w:rsid w:val="0004658D"/>
    <w:rsid w:val="00065EC3"/>
    <w:rsid w:val="00067447"/>
    <w:rsid w:val="000732D3"/>
    <w:rsid w:val="00076354"/>
    <w:rsid w:val="00076464"/>
    <w:rsid w:val="00077F26"/>
    <w:rsid w:val="0008779D"/>
    <w:rsid w:val="00091C90"/>
    <w:rsid w:val="000C4F75"/>
    <w:rsid w:val="000D03AF"/>
    <w:rsid w:val="000D2631"/>
    <w:rsid w:val="000D7450"/>
    <w:rsid w:val="000F06C5"/>
    <w:rsid w:val="000F7479"/>
    <w:rsid w:val="00145F3D"/>
    <w:rsid w:val="001519A5"/>
    <w:rsid w:val="00162BCE"/>
    <w:rsid w:val="00164835"/>
    <w:rsid w:val="0017119D"/>
    <w:rsid w:val="00172FC5"/>
    <w:rsid w:val="0017464F"/>
    <w:rsid w:val="00180E57"/>
    <w:rsid w:val="001843A8"/>
    <w:rsid w:val="00185D8C"/>
    <w:rsid w:val="001A10B6"/>
    <w:rsid w:val="001A2D98"/>
    <w:rsid w:val="001B1DF8"/>
    <w:rsid w:val="001C2D95"/>
    <w:rsid w:val="001C6E7B"/>
    <w:rsid w:val="001E3B41"/>
    <w:rsid w:val="00200A6C"/>
    <w:rsid w:val="00207180"/>
    <w:rsid w:val="00257B8A"/>
    <w:rsid w:val="00280781"/>
    <w:rsid w:val="002B4B28"/>
    <w:rsid w:val="002D234D"/>
    <w:rsid w:val="002F56B4"/>
    <w:rsid w:val="00356C84"/>
    <w:rsid w:val="00361F5D"/>
    <w:rsid w:val="00384928"/>
    <w:rsid w:val="0039019D"/>
    <w:rsid w:val="003A5A13"/>
    <w:rsid w:val="003C15D5"/>
    <w:rsid w:val="003C22C7"/>
    <w:rsid w:val="003C534A"/>
    <w:rsid w:val="003D6D15"/>
    <w:rsid w:val="003E282D"/>
    <w:rsid w:val="00403A1F"/>
    <w:rsid w:val="004059C3"/>
    <w:rsid w:val="00434200"/>
    <w:rsid w:val="00460C1F"/>
    <w:rsid w:val="00462288"/>
    <w:rsid w:val="00490136"/>
    <w:rsid w:val="004B31BB"/>
    <w:rsid w:val="004E69DB"/>
    <w:rsid w:val="0051123F"/>
    <w:rsid w:val="005141A9"/>
    <w:rsid w:val="00515C22"/>
    <w:rsid w:val="00522855"/>
    <w:rsid w:val="00532A80"/>
    <w:rsid w:val="00534E29"/>
    <w:rsid w:val="00567E01"/>
    <w:rsid w:val="00576019"/>
    <w:rsid w:val="0058710F"/>
    <w:rsid w:val="005B017B"/>
    <w:rsid w:val="005B2A07"/>
    <w:rsid w:val="005B2CB0"/>
    <w:rsid w:val="0060646C"/>
    <w:rsid w:val="0061508A"/>
    <w:rsid w:val="00626C4C"/>
    <w:rsid w:val="00626CC2"/>
    <w:rsid w:val="006345F3"/>
    <w:rsid w:val="00685468"/>
    <w:rsid w:val="00686649"/>
    <w:rsid w:val="006972D3"/>
    <w:rsid w:val="006A3802"/>
    <w:rsid w:val="006B0D18"/>
    <w:rsid w:val="006E0020"/>
    <w:rsid w:val="006E1B27"/>
    <w:rsid w:val="006E5B33"/>
    <w:rsid w:val="007052EE"/>
    <w:rsid w:val="00712AA9"/>
    <w:rsid w:val="0073499A"/>
    <w:rsid w:val="007451A8"/>
    <w:rsid w:val="00755683"/>
    <w:rsid w:val="0077166D"/>
    <w:rsid w:val="00774C31"/>
    <w:rsid w:val="0078783F"/>
    <w:rsid w:val="00795ED1"/>
    <w:rsid w:val="007A533A"/>
    <w:rsid w:val="007B3971"/>
    <w:rsid w:val="007E2604"/>
    <w:rsid w:val="007F1922"/>
    <w:rsid w:val="00830DB6"/>
    <w:rsid w:val="00832720"/>
    <w:rsid w:val="00832DA7"/>
    <w:rsid w:val="0083436F"/>
    <w:rsid w:val="00837812"/>
    <w:rsid w:val="00856973"/>
    <w:rsid w:val="0088553D"/>
    <w:rsid w:val="008A660E"/>
    <w:rsid w:val="008B1006"/>
    <w:rsid w:val="008B521B"/>
    <w:rsid w:val="008B636D"/>
    <w:rsid w:val="008E2860"/>
    <w:rsid w:val="008E780C"/>
    <w:rsid w:val="008F4591"/>
    <w:rsid w:val="00905641"/>
    <w:rsid w:val="00911DCA"/>
    <w:rsid w:val="0096624C"/>
    <w:rsid w:val="00994238"/>
    <w:rsid w:val="009A2AFD"/>
    <w:rsid w:val="009D0415"/>
    <w:rsid w:val="009E11FA"/>
    <w:rsid w:val="009E5C1C"/>
    <w:rsid w:val="009F2349"/>
    <w:rsid w:val="00A0162C"/>
    <w:rsid w:val="00A0700A"/>
    <w:rsid w:val="00A07D11"/>
    <w:rsid w:val="00A267C2"/>
    <w:rsid w:val="00A43C64"/>
    <w:rsid w:val="00A51BA0"/>
    <w:rsid w:val="00A60EFD"/>
    <w:rsid w:val="00A81EEF"/>
    <w:rsid w:val="00AB6D80"/>
    <w:rsid w:val="00B00D05"/>
    <w:rsid w:val="00B11E40"/>
    <w:rsid w:val="00B24270"/>
    <w:rsid w:val="00B327B6"/>
    <w:rsid w:val="00B337EB"/>
    <w:rsid w:val="00B379B9"/>
    <w:rsid w:val="00B5705D"/>
    <w:rsid w:val="00B60F39"/>
    <w:rsid w:val="00B6753C"/>
    <w:rsid w:val="00B75BAA"/>
    <w:rsid w:val="00B75EBB"/>
    <w:rsid w:val="00B7787E"/>
    <w:rsid w:val="00B83F57"/>
    <w:rsid w:val="00BB7CFE"/>
    <w:rsid w:val="00BD188B"/>
    <w:rsid w:val="00BD4554"/>
    <w:rsid w:val="00BE7A23"/>
    <w:rsid w:val="00C0419F"/>
    <w:rsid w:val="00C06B68"/>
    <w:rsid w:val="00C1141D"/>
    <w:rsid w:val="00C15995"/>
    <w:rsid w:val="00C5003B"/>
    <w:rsid w:val="00C578BE"/>
    <w:rsid w:val="00CA3CF9"/>
    <w:rsid w:val="00CB29F6"/>
    <w:rsid w:val="00CB5F4B"/>
    <w:rsid w:val="00CC056F"/>
    <w:rsid w:val="00CC71C7"/>
    <w:rsid w:val="00CC74C4"/>
    <w:rsid w:val="00CE2FB8"/>
    <w:rsid w:val="00CF74BE"/>
    <w:rsid w:val="00CF792B"/>
    <w:rsid w:val="00D007E9"/>
    <w:rsid w:val="00D06F73"/>
    <w:rsid w:val="00D21EA9"/>
    <w:rsid w:val="00D4061C"/>
    <w:rsid w:val="00D621E6"/>
    <w:rsid w:val="00D66396"/>
    <w:rsid w:val="00D93587"/>
    <w:rsid w:val="00DA46F0"/>
    <w:rsid w:val="00DA7493"/>
    <w:rsid w:val="00DB0E17"/>
    <w:rsid w:val="00DB17E3"/>
    <w:rsid w:val="00DE056C"/>
    <w:rsid w:val="00E26F7B"/>
    <w:rsid w:val="00E45537"/>
    <w:rsid w:val="00E52F6C"/>
    <w:rsid w:val="00E55127"/>
    <w:rsid w:val="00E737AD"/>
    <w:rsid w:val="00E754DF"/>
    <w:rsid w:val="00EC42D8"/>
    <w:rsid w:val="00EF4996"/>
    <w:rsid w:val="00F81998"/>
    <w:rsid w:val="00FA08F5"/>
    <w:rsid w:val="00FA61A3"/>
    <w:rsid w:val="00FE46FF"/>
    <w:rsid w:val="00FE540C"/>
    <w:rsid w:val="00FE5F65"/>
    <w:rsid w:val="00FE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37AD"/>
    <w:pPr>
      <w:ind w:firstLineChars="263" w:firstLine="818"/>
    </w:pPr>
    <w:rPr>
      <w:rFonts w:ascii="仿宋_GB2312" w:eastAsia="仿宋_GB2312"/>
      <w:sz w:val="30"/>
    </w:rPr>
  </w:style>
  <w:style w:type="paragraph" w:customStyle="1" w:styleId="CharCharCharChar">
    <w:name w:val="Char Char Char Char"/>
    <w:basedOn w:val="a"/>
    <w:autoRedefine/>
    <w:rsid w:val="00E737AD"/>
    <w:pPr>
      <w:widowControl/>
      <w:spacing w:after="160" w:line="240" w:lineRule="exact"/>
      <w:jc w:val="left"/>
    </w:pPr>
    <w:rPr>
      <w:rFonts w:ascii="Verdana" w:eastAsia="仿宋_GB2312" w:hAnsi="Verdana"/>
      <w:kern w:val="0"/>
      <w:sz w:val="24"/>
      <w:szCs w:val="20"/>
      <w:lang w:eastAsia="en-US"/>
    </w:rPr>
  </w:style>
  <w:style w:type="character" w:styleId="a3">
    <w:name w:val="Hyperlink"/>
    <w:basedOn w:val="a0"/>
    <w:rsid w:val="00CC056F"/>
    <w:rPr>
      <w:color w:val="0000FF"/>
      <w:u w:val="single"/>
    </w:rPr>
  </w:style>
  <w:style w:type="paragraph" w:styleId="a4">
    <w:name w:val="Balloon Text"/>
    <w:basedOn w:val="a"/>
    <w:semiHidden/>
    <w:rsid w:val="0060646C"/>
    <w:rPr>
      <w:sz w:val="18"/>
      <w:szCs w:val="18"/>
    </w:rPr>
  </w:style>
  <w:style w:type="paragraph" w:styleId="a5">
    <w:name w:val="footer"/>
    <w:basedOn w:val="a"/>
    <w:rsid w:val="0060646C"/>
    <w:pPr>
      <w:tabs>
        <w:tab w:val="center" w:pos="4153"/>
        <w:tab w:val="right" w:pos="8306"/>
      </w:tabs>
      <w:snapToGrid w:val="0"/>
      <w:jc w:val="left"/>
    </w:pPr>
    <w:rPr>
      <w:sz w:val="18"/>
      <w:szCs w:val="18"/>
    </w:rPr>
  </w:style>
  <w:style w:type="character" w:styleId="a6">
    <w:name w:val="page number"/>
    <w:basedOn w:val="a0"/>
    <w:rsid w:val="0060646C"/>
  </w:style>
  <w:style w:type="paragraph" w:styleId="a7">
    <w:name w:val="header"/>
    <w:basedOn w:val="a"/>
    <w:link w:val="Char"/>
    <w:uiPriority w:val="99"/>
    <w:rsid w:val="004E69DB"/>
    <w:pPr>
      <w:tabs>
        <w:tab w:val="center" w:pos="4153"/>
        <w:tab w:val="right" w:pos="8306"/>
      </w:tabs>
      <w:snapToGrid w:val="0"/>
      <w:jc w:val="center"/>
    </w:pPr>
    <w:rPr>
      <w:sz w:val="18"/>
      <w:szCs w:val="18"/>
    </w:rPr>
  </w:style>
  <w:style w:type="character" w:customStyle="1" w:styleId="Char">
    <w:name w:val="页眉 Char"/>
    <w:basedOn w:val="a0"/>
    <w:link w:val="a7"/>
    <w:uiPriority w:val="99"/>
    <w:rsid w:val="004E69DB"/>
    <w:rPr>
      <w:kern w:val="2"/>
      <w:sz w:val="18"/>
      <w:szCs w:val="18"/>
    </w:rPr>
  </w:style>
  <w:style w:type="paragraph" w:styleId="a8">
    <w:name w:val="Normal (Web)"/>
    <w:basedOn w:val="a"/>
    <w:uiPriority w:val="99"/>
    <w:unhideWhenUsed/>
    <w:rsid w:val="0073499A"/>
    <w:pPr>
      <w:widowControl/>
      <w:spacing w:before="100" w:beforeAutospacing="1" w:after="100" w:afterAutospacing="1"/>
      <w:jc w:val="left"/>
    </w:pPr>
    <w:rPr>
      <w:rFonts w:ascii="宋体" w:hAnsi="宋体" w:cs="宋体"/>
      <w:kern w:val="0"/>
      <w:sz w:val="24"/>
    </w:rPr>
  </w:style>
  <w:style w:type="table" w:styleId="a9">
    <w:name w:val="Table Grid"/>
    <w:basedOn w:val="a1"/>
    <w:rsid w:val="001A2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181736">
      <w:bodyDiv w:val="1"/>
      <w:marLeft w:val="0"/>
      <w:marRight w:val="0"/>
      <w:marTop w:val="0"/>
      <w:marBottom w:val="0"/>
      <w:divBdr>
        <w:top w:val="none" w:sz="0" w:space="0" w:color="auto"/>
        <w:left w:val="none" w:sz="0" w:space="0" w:color="auto"/>
        <w:bottom w:val="none" w:sz="0" w:space="0" w:color="auto"/>
        <w:right w:val="none" w:sz="0" w:space="0" w:color="auto"/>
      </w:divBdr>
      <w:divsChild>
        <w:div w:id="411123833">
          <w:marLeft w:val="0"/>
          <w:marRight w:val="0"/>
          <w:marTop w:val="0"/>
          <w:marBottom w:val="0"/>
          <w:divBdr>
            <w:top w:val="none" w:sz="0" w:space="0" w:color="auto"/>
            <w:left w:val="none" w:sz="0" w:space="0" w:color="auto"/>
            <w:bottom w:val="none" w:sz="0" w:space="0" w:color="auto"/>
            <w:right w:val="none" w:sz="0" w:space="0" w:color="auto"/>
          </w:divBdr>
        </w:div>
      </w:divsChild>
    </w:div>
    <w:div w:id="12426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1094-4CF6-4E24-A799-9AD89AC9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54</Words>
  <Characters>308</Characters>
  <Application>Microsoft Office Word</Application>
  <DocSecurity>0</DocSecurity>
  <Lines>2</Lines>
  <Paragraphs>1</Paragraphs>
  <ScaleCrop>false</ScaleCrop>
  <Company>山东省勘察设计协会</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山东省勘察设计协会文档</dc:title>
  <dc:creator>山东省勘察设计协会</dc:creator>
  <cp:lastModifiedBy>Administrator</cp:lastModifiedBy>
  <cp:revision>76</cp:revision>
  <cp:lastPrinted>2015-04-15T06:02:00Z</cp:lastPrinted>
  <dcterms:created xsi:type="dcterms:W3CDTF">2016-05-03T09:16:00Z</dcterms:created>
  <dcterms:modified xsi:type="dcterms:W3CDTF">2016-09-09T07:11:00Z</dcterms:modified>
</cp:coreProperties>
</file>